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F615FA" w:rsidRDefault="001226EF" w:rsidP="00880F60">
      <w:pPr>
        <w:pStyle w:val="Title"/>
        <w:rPr>
          <w:lang w:val="pt-PT"/>
        </w:rPr>
      </w:pPr>
      <w:r w:rsidRPr="00E55315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F615FA" w:rsidRDefault="001226EF" w:rsidP="00FB5286">
      <w:pPr>
        <w:pStyle w:val="Subtitle"/>
        <w:rPr>
          <w:lang w:val="pt-PT"/>
        </w:rPr>
      </w:pPr>
      <w:r>
        <w:rPr>
          <w:rFonts w:ascii="Georgia" w:eastAsia="Georgia" w:hAnsi="Georgia" w:cs="Georgia"/>
          <w:lang w:val="pt-BR"/>
        </w:rPr>
        <w:t>Despesas mensais</w:t>
      </w:r>
    </w:p>
    <w:p w:rsidR="002F372E" w:rsidRPr="00F615FA" w:rsidRDefault="001226EF" w:rsidP="00446686">
      <w:pPr>
        <w:pStyle w:val="BodyText"/>
        <w:rPr>
          <w:lang w:val="pt-PT"/>
        </w:rPr>
      </w:pPr>
      <w:r w:rsidRPr="00446686">
        <w:rPr>
          <w:rFonts w:eastAsia="Georgia" w:cs="Georgia"/>
          <w:lang w:val="pt-BR"/>
        </w:rPr>
        <w:t>Parabéns! Vocês têm um salário fictício de US$ 1.000 por mês. Os custos para cada categoria são exibidos. Quanto vocês gostariam de gastar com a casa e tempo livre?</w:t>
      </w:r>
    </w:p>
    <w:tbl>
      <w:tblPr>
        <w:tblStyle w:val="DP-Plain"/>
        <w:tblW w:w="0" w:type="auto"/>
        <w:tblLook w:val="04A0"/>
      </w:tblPr>
      <w:tblGrid>
        <w:gridCol w:w="3048"/>
        <w:gridCol w:w="3048"/>
        <w:gridCol w:w="3048"/>
      </w:tblGrid>
      <w:tr w:rsidR="00A36BAA" w:rsidTr="00A36BAA">
        <w:trPr>
          <w:cnfStyle w:val="100000000000"/>
          <w:trHeight w:val="15"/>
        </w:trPr>
        <w:tc>
          <w:tcPr>
            <w:tcW w:w="3048" w:type="dxa"/>
          </w:tcPr>
          <w:p w:rsidR="00446686" w:rsidRPr="00446686" w:rsidRDefault="001226EF" w:rsidP="00446686">
            <w:pPr>
              <w:pStyle w:val="TableTitleArial"/>
            </w:pPr>
            <w:r w:rsidRPr="00446686">
              <w:rPr>
                <w:rFonts w:eastAsia="Arial"/>
                <w:color w:val="000000"/>
                <w:szCs w:val="20"/>
                <w:lang w:val="pt-BR"/>
              </w:rPr>
              <w:t>Categoria</w:t>
            </w:r>
          </w:p>
        </w:tc>
        <w:tc>
          <w:tcPr>
            <w:tcW w:w="3048" w:type="dxa"/>
          </w:tcPr>
          <w:p w:rsidR="00446686" w:rsidRPr="00446686" w:rsidRDefault="001226EF" w:rsidP="00446686">
            <w:pPr>
              <w:pStyle w:val="TableTitleArial"/>
              <w:jc w:val="right"/>
            </w:pPr>
            <w:r w:rsidRPr="00446686">
              <w:rPr>
                <w:rFonts w:eastAsia="Arial"/>
                <w:color w:val="000000"/>
                <w:szCs w:val="20"/>
                <w:lang w:val="pt-BR"/>
              </w:rPr>
              <w:t>Custo</w:t>
            </w:r>
          </w:p>
        </w:tc>
        <w:tc>
          <w:tcPr>
            <w:tcW w:w="3048" w:type="dxa"/>
          </w:tcPr>
          <w:p w:rsidR="00446686" w:rsidRPr="00446686" w:rsidRDefault="001226EF" w:rsidP="00446686">
            <w:pPr>
              <w:pStyle w:val="TableTitleArial"/>
            </w:pPr>
            <w:r w:rsidRPr="00446686">
              <w:rPr>
                <w:rFonts w:eastAsia="Arial"/>
                <w:color w:val="000000"/>
                <w:szCs w:val="20"/>
                <w:lang w:val="pt-BR"/>
              </w:rPr>
              <w:t>Cor</w:t>
            </w:r>
          </w:p>
        </w:tc>
      </w:tr>
      <w:tr w:rsidR="00A36BAA" w:rsidTr="00A36BAA">
        <w:tc>
          <w:tcPr>
            <w:tcW w:w="3048" w:type="dxa"/>
          </w:tcPr>
          <w:p w:rsidR="00446686" w:rsidRPr="00446686" w:rsidRDefault="001226EF" w:rsidP="00446686">
            <w:pPr>
              <w:pStyle w:val="TableSecondLevelArial"/>
            </w:pPr>
            <w:r w:rsidRPr="00446686">
              <w:rPr>
                <w:rFonts w:eastAsia="Arial"/>
                <w:iCs/>
                <w:color w:val="000000"/>
                <w:lang w:val="pt-BR"/>
              </w:rPr>
              <w:t>Alimentos e roupas</w:t>
            </w:r>
          </w:p>
        </w:tc>
        <w:tc>
          <w:tcPr>
            <w:tcW w:w="3048" w:type="dxa"/>
          </w:tcPr>
          <w:p w:rsidR="00446686" w:rsidRPr="00446686" w:rsidRDefault="001226EF" w:rsidP="00446686">
            <w:pPr>
              <w:pStyle w:val="TabletextArial"/>
              <w:jc w:val="right"/>
              <w:rPr>
                <w:szCs w:val="32"/>
              </w:rPr>
            </w:pPr>
            <w:r w:rsidRPr="00446686">
              <w:rPr>
                <w:rFonts w:eastAsia="Arial"/>
                <w:lang w:val="pt-BR"/>
              </w:rPr>
              <w:t>US$ 300</w:t>
            </w: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rPr>
                <w:szCs w:val="32"/>
              </w:rPr>
            </w:pPr>
          </w:p>
        </w:tc>
      </w:tr>
      <w:tr w:rsidR="00A36BAA" w:rsidTr="00A36BAA">
        <w:tc>
          <w:tcPr>
            <w:tcW w:w="3048" w:type="dxa"/>
          </w:tcPr>
          <w:p w:rsidR="00446686" w:rsidRPr="00446686" w:rsidRDefault="001226EF" w:rsidP="00446686">
            <w:pPr>
              <w:pStyle w:val="TableSecondLevelArial"/>
            </w:pPr>
            <w:r w:rsidRPr="00446686">
              <w:rPr>
                <w:rFonts w:eastAsia="Arial"/>
                <w:iCs/>
                <w:color w:val="000000"/>
                <w:lang w:val="pt-BR"/>
              </w:rPr>
              <w:t>Poupança</w:t>
            </w:r>
          </w:p>
        </w:tc>
        <w:tc>
          <w:tcPr>
            <w:tcW w:w="3048" w:type="dxa"/>
          </w:tcPr>
          <w:p w:rsidR="00446686" w:rsidRPr="00446686" w:rsidRDefault="001226EF" w:rsidP="00446686">
            <w:pPr>
              <w:pStyle w:val="TabletextArial"/>
              <w:jc w:val="right"/>
              <w:rPr>
                <w:szCs w:val="32"/>
              </w:rPr>
            </w:pPr>
            <w:r w:rsidRPr="00446686">
              <w:rPr>
                <w:rFonts w:eastAsia="Arial"/>
                <w:lang w:val="pt-BR"/>
              </w:rPr>
              <w:t>US$ 100</w:t>
            </w: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rPr>
                <w:szCs w:val="32"/>
              </w:rPr>
            </w:pPr>
          </w:p>
        </w:tc>
      </w:tr>
      <w:tr w:rsidR="00A36BAA" w:rsidTr="00A36BAA">
        <w:tc>
          <w:tcPr>
            <w:tcW w:w="3048" w:type="dxa"/>
          </w:tcPr>
          <w:p w:rsidR="00446686" w:rsidRPr="00446686" w:rsidRDefault="001226EF" w:rsidP="00446686">
            <w:pPr>
              <w:pStyle w:val="TableSecondLevelArial"/>
            </w:pPr>
            <w:r w:rsidRPr="00446686">
              <w:rPr>
                <w:rFonts w:eastAsia="Arial"/>
                <w:iCs/>
                <w:color w:val="000000"/>
                <w:lang w:val="pt-BR"/>
              </w:rPr>
              <w:t>Outros</w:t>
            </w:r>
          </w:p>
        </w:tc>
        <w:tc>
          <w:tcPr>
            <w:tcW w:w="3048" w:type="dxa"/>
          </w:tcPr>
          <w:p w:rsidR="00446686" w:rsidRPr="00446686" w:rsidRDefault="001226EF" w:rsidP="00446686">
            <w:pPr>
              <w:pStyle w:val="TabletextArial"/>
              <w:jc w:val="right"/>
              <w:rPr>
                <w:szCs w:val="32"/>
              </w:rPr>
            </w:pPr>
            <w:r w:rsidRPr="00446686">
              <w:rPr>
                <w:rFonts w:eastAsia="Arial"/>
                <w:lang w:val="pt-BR"/>
              </w:rPr>
              <w:t>US$ 200</w:t>
            </w: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rPr>
                <w:szCs w:val="32"/>
              </w:rPr>
            </w:pPr>
          </w:p>
        </w:tc>
      </w:tr>
      <w:tr w:rsidR="00A36BAA" w:rsidTr="00A36BAA">
        <w:tc>
          <w:tcPr>
            <w:tcW w:w="3048" w:type="dxa"/>
          </w:tcPr>
          <w:p w:rsidR="00446686" w:rsidRPr="00446686" w:rsidRDefault="001226EF" w:rsidP="00446686">
            <w:pPr>
              <w:pStyle w:val="TableSecondLevelArial"/>
            </w:pPr>
            <w:r w:rsidRPr="00446686">
              <w:rPr>
                <w:rFonts w:eastAsia="Arial"/>
                <w:iCs/>
                <w:color w:val="000000"/>
                <w:lang w:val="pt-BR"/>
              </w:rPr>
              <w:t>Custo com a casa</w:t>
            </w: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jc w:val="right"/>
              <w:rPr>
                <w:szCs w:val="32"/>
              </w:rPr>
            </w:pP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rPr>
                <w:szCs w:val="32"/>
              </w:rPr>
            </w:pPr>
          </w:p>
        </w:tc>
      </w:tr>
      <w:tr w:rsidR="00A36BAA" w:rsidTr="00A36BAA">
        <w:tc>
          <w:tcPr>
            <w:tcW w:w="3048" w:type="dxa"/>
          </w:tcPr>
          <w:p w:rsidR="00446686" w:rsidRPr="00446686" w:rsidRDefault="001226EF" w:rsidP="00446686">
            <w:pPr>
              <w:pStyle w:val="TableSecondLevelArial"/>
            </w:pPr>
            <w:r w:rsidRPr="00446686">
              <w:rPr>
                <w:rFonts w:eastAsia="Arial"/>
                <w:iCs/>
                <w:color w:val="000000"/>
                <w:lang w:val="pt-BR"/>
              </w:rPr>
              <w:t>Tempo livre</w:t>
            </w: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jc w:val="right"/>
              <w:rPr>
                <w:szCs w:val="32"/>
              </w:rPr>
            </w:pP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rPr>
                <w:szCs w:val="32"/>
              </w:rPr>
            </w:pPr>
          </w:p>
        </w:tc>
      </w:tr>
      <w:tr w:rsidR="00A36BAA" w:rsidTr="00A36BAA">
        <w:tc>
          <w:tcPr>
            <w:tcW w:w="3048" w:type="dxa"/>
          </w:tcPr>
          <w:p w:rsidR="00446686" w:rsidRPr="00841EA6" w:rsidRDefault="001226EF" w:rsidP="00446686">
            <w:pPr>
              <w:pStyle w:val="TableSecondLevelArial"/>
              <w:rPr>
                <w:b/>
                <w:i w:val="0"/>
              </w:rPr>
            </w:pPr>
            <w:r w:rsidRPr="00841EA6">
              <w:rPr>
                <w:rFonts w:eastAsia="Arial"/>
                <w:b/>
                <w:bCs/>
                <w:i w:val="0"/>
                <w:color w:val="000000"/>
                <w:lang w:val="pt-BR"/>
              </w:rPr>
              <w:t>Total</w:t>
            </w: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jc w:val="right"/>
              <w:rPr>
                <w:szCs w:val="32"/>
              </w:rPr>
            </w:pPr>
          </w:p>
        </w:tc>
        <w:tc>
          <w:tcPr>
            <w:tcW w:w="3048" w:type="dxa"/>
          </w:tcPr>
          <w:p w:rsidR="00446686" w:rsidRPr="00446686" w:rsidRDefault="006B5809" w:rsidP="00446686">
            <w:pPr>
              <w:pStyle w:val="TabletextArial"/>
              <w:rPr>
                <w:szCs w:val="32"/>
              </w:rPr>
            </w:pPr>
          </w:p>
        </w:tc>
      </w:tr>
    </w:tbl>
    <w:p w:rsidR="00446686" w:rsidRDefault="006B5809" w:rsidP="00446686">
      <w:pPr>
        <w:pStyle w:val="BodyText"/>
      </w:pPr>
    </w:p>
    <w:p w:rsidR="00446686" w:rsidRDefault="001226EF" w:rsidP="00446686">
      <w:pPr>
        <w:pStyle w:val="BodyText"/>
      </w:pPr>
      <w:r w:rsidRPr="00F52335">
        <w:rPr>
          <w:noProof/>
          <w:lang w:val="en-US" w:eastAsia="zh-CN"/>
        </w:rPr>
        <w:drawing>
          <wp:inline distT="0" distB="0" distL="0" distR="0">
            <wp:extent cx="3200400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41" cy="3198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68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6EF" w:rsidRDefault="001226EF" w:rsidP="00A36BAA">
      <w:pPr>
        <w:spacing w:after="0" w:line="240" w:lineRule="auto"/>
      </w:pPr>
      <w:r>
        <w:separator/>
      </w:r>
    </w:p>
  </w:endnote>
  <w:endnote w:type="continuationSeparator" w:id="0">
    <w:p w:rsidR="001226EF" w:rsidRDefault="001226EF" w:rsidP="00A3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8463F9">
    <w:pPr>
      <w:pStyle w:val="Footer"/>
    </w:pPr>
    <w:r w:rsidRPr="008463F9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F615FA" w:rsidRDefault="001226EF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 Todos os direitos reservados.  PwC refere-se à empresa membro nos Estados Unidos, e pode ocasionalmente referir-se à rede PwC.  Cada empresa membro é uma entidade legal separada. 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1226EF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6EF" w:rsidRDefault="001226EF" w:rsidP="00A36BAA">
      <w:pPr>
        <w:spacing w:after="0" w:line="240" w:lineRule="auto"/>
      </w:pPr>
      <w:r>
        <w:separator/>
      </w:r>
    </w:p>
  </w:footnote>
  <w:footnote w:type="continuationSeparator" w:id="0">
    <w:p w:rsidR="001226EF" w:rsidRDefault="001226EF" w:rsidP="00A36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36BAA" w:rsidTr="0084517A">
      <w:tc>
        <w:tcPr>
          <w:tcW w:w="5000" w:type="pct"/>
        </w:tcPr>
        <w:p w:rsidR="002F372E" w:rsidRPr="009B5B65" w:rsidRDefault="006B580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8463F9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1226E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5A3AF71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2F52C18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A601CF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52A46D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A3817C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14C75C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D3C609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F02197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EC00DE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845063B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092BF9C" w:tentative="1">
      <w:start w:val="1"/>
      <w:numFmt w:val="lowerLetter"/>
      <w:lvlText w:val="%2."/>
      <w:lvlJc w:val="left"/>
      <w:pPr>
        <w:ind w:left="2246" w:hanging="360"/>
      </w:pPr>
    </w:lvl>
    <w:lvl w:ilvl="2" w:tplc="6E4254BC" w:tentative="1">
      <w:start w:val="1"/>
      <w:numFmt w:val="lowerRoman"/>
      <w:lvlText w:val="%3."/>
      <w:lvlJc w:val="right"/>
      <w:pPr>
        <w:ind w:left="2966" w:hanging="180"/>
      </w:pPr>
    </w:lvl>
    <w:lvl w:ilvl="3" w:tplc="1E445AF0" w:tentative="1">
      <w:start w:val="1"/>
      <w:numFmt w:val="decimal"/>
      <w:lvlText w:val="%4."/>
      <w:lvlJc w:val="left"/>
      <w:pPr>
        <w:ind w:left="3686" w:hanging="360"/>
      </w:pPr>
    </w:lvl>
    <w:lvl w:ilvl="4" w:tplc="152CA4CC" w:tentative="1">
      <w:start w:val="1"/>
      <w:numFmt w:val="lowerLetter"/>
      <w:lvlText w:val="%5."/>
      <w:lvlJc w:val="left"/>
      <w:pPr>
        <w:ind w:left="4406" w:hanging="360"/>
      </w:pPr>
    </w:lvl>
    <w:lvl w:ilvl="5" w:tplc="A63A89F0" w:tentative="1">
      <w:start w:val="1"/>
      <w:numFmt w:val="lowerRoman"/>
      <w:lvlText w:val="%6."/>
      <w:lvlJc w:val="right"/>
      <w:pPr>
        <w:ind w:left="5126" w:hanging="180"/>
      </w:pPr>
    </w:lvl>
    <w:lvl w:ilvl="6" w:tplc="48B243E8" w:tentative="1">
      <w:start w:val="1"/>
      <w:numFmt w:val="decimal"/>
      <w:lvlText w:val="%7."/>
      <w:lvlJc w:val="left"/>
      <w:pPr>
        <w:ind w:left="5846" w:hanging="360"/>
      </w:pPr>
    </w:lvl>
    <w:lvl w:ilvl="7" w:tplc="A3683992" w:tentative="1">
      <w:start w:val="1"/>
      <w:numFmt w:val="lowerLetter"/>
      <w:lvlText w:val="%8."/>
      <w:lvlJc w:val="left"/>
      <w:pPr>
        <w:ind w:left="6566" w:hanging="360"/>
      </w:pPr>
    </w:lvl>
    <w:lvl w:ilvl="8" w:tplc="24F63C6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8326EA3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B02112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388269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09AA8C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BFE460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93A90B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ACC10A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21AFC3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692A91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202CBA9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5A8A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2A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EF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8864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2C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C0B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AD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F22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2A3C951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0B09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B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E3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072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94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43A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28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E1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36BAA"/>
    <w:rsid w:val="001226EF"/>
    <w:rsid w:val="006B5809"/>
    <w:rsid w:val="008463F9"/>
    <w:rsid w:val="00A36BAA"/>
    <w:rsid w:val="00F6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992F-3B90-4DD3-879E-0391F249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2012-12-25T23:20:00Z</dcterms:created>
  <dcterms:modified xsi:type="dcterms:W3CDTF">2012-12-25T23:20:00Z</dcterms:modified>
</cp:coreProperties>
</file>